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B89" w:rsidRDefault="0048171A" w:rsidP="0048171A">
      <w:pPr>
        <w:jc w:val="center"/>
        <w:rPr>
          <w:rFonts w:ascii="標楷體" w:eastAsia="標楷體" w:hAnsi="標楷體"/>
          <w:b/>
          <w:sz w:val="36"/>
          <w:szCs w:val="36"/>
        </w:rPr>
      </w:pPr>
      <w:r>
        <w:rPr>
          <w:rFonts w:ascii="標楷體" w:eastAsia="標楷體" w:hAnsi="標楷體" w:hint="eastAsia"/>
          <w:b/>
          <w:sz w:val="36"/>
          <w:szCs w:val="36"/>
        </w:rPr>
        <w:t>103</w:t>
      </w:r>
      <w:r w:rsidR="006634CE">
        <w:rPr>
          <w:rFonts w:ascii="標楷體" w:eastAsia="標楷體" w:hAnsi="標楷體" w:hint="eastAsia"/>
          <w:b/>
          <w:sz w:val="36"/>
          <w:szCs w:val="36"/>
        </w:rPr>
        <w:t>年度僑務委員會</w:t>
      </w:r>
      <w:r>
        <w:rPr>
          <w:rFonts w:ascii="標楷體" w:eastAsia="標楷體" w:hAnsi="標楷體" w:hint="eastAsia"/>
          <w:b/>
          <w:sz w:val="36"/>
          <w:szCs w:val="36"/>
        </w:rPr>
        <w:t>碩博士論文獎建議研究主題</w:t>
      </w:r>
    </w:p>
    <w:tbl>
      <w:tblPr>
        <w:tblStyle w:val="a3"/>
        <w:tblW w:w="5000" w:type="pct"/>
        <w:tblBorders>
          <w:top w:val="single" w:sz="12" w:space="0" w:color="auto"/>
          <w:left w:val="single" w:sz="12" w:space="0" w:color="auto"/>
          <w:bottom w:val="single" w:sz="12" w:space="0" w:color="auto"/>
          <w:right w:val="single" w:sz="12" w:space="0" w:color="auto"/>
        </w:tblBorders>
        <w:tblLook w:val="04A0"/>
      </w:tblPr>
      <w:tblGrid>
        <w:gridCol w:w="1028"/>
        <w:gridCol w:w="7494"/>
      </w:tblGrid>
      <w:tr w:rsidR="00885A78" w:rsidRPr="0048171A" w:rsidTr="00885A78">
        <w:tc>
          <w:tcPr>
            <w:tcW w:w="603" w:type="pct"/>
            <w:shd w:val="clear" w:color="auto" w:fill="D9D9D9" w:themeFill="background1" w:themeFillShade="D9"/>
          </w:tcPr>
          <w:p w:rsidR="00885A78" w:rsidRPr="0048171A" w:rsidRDefault="00885A78" w:rsidP="0048171A">
            <w:pPr>
              <w:jc w:val="center"/>
              <w:rPr>
                <w:rFonts w:ascii="標楷體" w:eastAsia="標楷體" w:hAnsi="標楷體"/>
                <w:b/>
                <w:szCs w:val="24"/>
              </w:rPr>
            </w:pPr>
            <w:r>
              <w:rPr>
                <w:rFonts w:ascii="標楷體" w:eastAsia="標楷體" w:hAnsi="標楷體" w:hint="eastAsia"/>
                <w:b/>
                <w:szCs w:val="24"/>
              </w:rPr>
              <w:t>項次</w:t>
            </w:r>
          </w:p>
        </w:tc>
        <w:tc>
          <w:tcPr>
            <w:tcW w:w="4397" w:type="pct"/>
            <w:shd w:val="clear" w:color="auto" w:fill="D9D9D9" w:themeFill="background1" w:themeFillShade="D9"/>
          </w:tcPr>
          <w:p w:rsidR="00885A78" w:rsidRPr="0048171A" w:rsidRDefault="00885A78" w:rsidP="0048171A">
            <w:pPr>
              <w:jc w:val="center"/>
              <w:rPr>
                <w:rFonts w:ascii="標楷體" w:eastAsia="標楷體" w:hAnsi="標楷體"/>
                <w:b/>
                <w:szCs w:val="24"/>
              </w:rPr>
            </w:pPr>
            <w:r>
              <w:rPr>
                <w:rFonts w:ascii="標楷體" w:eastAsia="標楷體" w:hAnsi="標楷體" w:hint="eastAsia"/>
                <w:b/>
                <w:szCs w:val="24"/>
              </w:rPr>
              <w:t>論文主題</w:t>
            </w:r>
          </w:p>
        </w:tc>
      </w:tr>
      <w:tr w:rsidR="00885A78" w:rsidRPr="00D3337E" w:rsidTr="00885A78">
        <w:trPr>
          <w:trHeight w:val="290"/>
        </w:trPr>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w:t>
            </w:r>
          </w:p>
        </w:tc>
        <w:tc>
          <w:tcPr>
            <w:tcW w:w="4397" w:type="pct"/>
            <w:vAlign w:val="center"/>
          </w:tcPr>
          <w:p w:rsidR="00885A78" w:rsidRPr="00D3337E" w:rsidRDefault="00885A78" w:rsidP="00F56FEF">
            <w:pPr>
              <w:spacing w:line="360" w:lineRule="exact"/>
              <w:jc w:val="both"/>
              <w:rPr>
                <w:rFonts w:ascii="標楷體" w:eastAsia="標楷體" w:hAnsi="標楷體"/>
                <w:sz w:val="28"/>
                <w:szCs w:val="28"/>
              </w:rPr>
            </w:pPr>
            <w:r w:rsidRPr="00D3337E">
              <w:rPr>
                <w:rFonts w:ascii="標楷體" w:eastAsia="標楷體" w:hAnsi="標楷體" w:hint="eastAsia"/>
                <w:sz w:val="28"/>
                <w:szCs w:val="28"/>
              </w:rPr>
              <w:t>我國僑務政策之發展與展望</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w:t>
            </w:r>
          </w:p>
        </w:tc>
        <w:tc>
          <w:tcPr>
            <w:tcW w:w="4397" w:type="pct"/>
            <w:vAlign w:val="center"/>
          </w:tcPr>
          <w:p w:rsidR="00885A78" w:rsidRPr="00D3337E" w:rsidRDefault="00885A78" w:rsidP="00F56FEF">
            <w:pPr>
              <w:spacing w:line="360" w:lineRule="exact"/>
              <w:jc w:val="both"/>
              <w:rPr>
                <w:rFonts w:ascii="標楷體" w:eastAsia="標楷體" w:hAnsi="標楷體"/>
                <w:sz w:val="28"/>
                <w:szCs w:val="28"/>
              </w:rPr>
            </w:pPr>
            <w:r>
              <w:rPr>
                <w:rFonts w:ascii="標楷體" w:eastAsia="標楷體" w:hAnsi="標楷體" w:hint="eastAsia"/>
                <w:sz w:val="28"/>
                <w:szCs w:val="28"/>
              </w:rPr>
              <w:t>中國大陸「僑務</w:t>
            </w:r>
            <w:r w:rsidRPr="00D3337E">
              <w:rPr>
                <w:rFonts w:ascii="標楷體" w:eastAsia="標楷體" w:hAnsi="標楷體" w:hint="eastAsia"/>
                <w:sz w:val="28"/>
                <w:szCs w:val="28"/>
              </w:rPr>
              <w:t>」政策對我國僑務工作之影響</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w:t>
            </w:r>
          </w:p>
        </w:tc>
        <w:tc>
          <w:tcPr>
            <w:tcW w:w="4397" w:type="pct"/>
            <w:vAlign w:val="center"/>
          </w:tcPr>
          <w:p w:rsidR="00885A78" w:rsidRPr="00D3337E" w:rsidRDefault="00885A78" w:rsidP="00F56FEF">
            <w:pPr>
              <w:spacing w:line="360" w:lineRule="exact"/>
              <w:jc w:val="both"/>
              <w:rPr>
                <w:rFonts w:ascii="標楷體" w:eastAsia="標楷體" w:hAnsi="標楷體"/>
                <w:sz w:val="28"/>
                <w:szCs w:val="28"/>
              </w:rPr>
            </w:pPr>
            <w:r w:rsidRPr="00D3337E">
              <w:rPr>
                <w:rFonts w:ascii="標楷體" w:eastAsia="標楷體" w:hAnsi="標楷體" w:hint="eastAsia"/>
                <w:sz w:val="28"/>
                <w:szCs w:val="28"/>
              </w:rPr>
              <w:t>兩岸競合關係中我國僑務之角色定位及因應策略</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4</w:t>
            </w:r>
          </w:p>
        </w:tc>
        <w:tc>
          <w:tcPr>
            <w:tcW w:w="4397" w:type="pct"/>
            <w:vAlign w:val="center"/>
          </w:tcPr>
          <w:p w:rsidR="00885A78" w:rsidRPr="00D3337E" w:rsidRDefault="00885A78" w:rsidP="00F56FEF">
            <w:pPr>
              <w:spacing w:line="360" w:lineRule="exact"/>
              <w:jc w:val="both"/>
              <w:rPr>
                <w:rFonts w:ascii="標楷體" w:eastAsia="標楷體" w:hAnsi="標楷體"/>
                <w:sz w:val="28"/>
                <w:szCs w:val="28"/>
              </w:rPr>
            </w:pPr>
            <w:r w:rsidRPr="00D3337E">
              <w:rPr>
                <w:rFonts w:ascii="標楷體" w:eastAsia="標楷體" w:hAnsi="標楷體" w:hint="eastAsia"/>
                <w:sz w:val="28"/>
                <w:szCs w:val="28"/>
              </w:rPr>
              <w:t>歸僑與海外僑胞網絡關係之研究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5</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臺僑社團組織（含第二代）之研究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6</w:t>
            </w:r>
          </w:p>
        </w:tc>
        <w:tc>
          <w:tcPr>
            <w:tcW w:w="4397" w:type="pct"/>
            <w:vAlign w:val="bottom"/>
          </w:tcPr>
          <w:p w:rsidR="00885A78" w:rsidRPr="00D3337E" w:rsidRDefault="00885A78" w:rsidP="00D3337E">
            <w:pPr>
              <w:spacing w:line="360" w:lineRule="exact"/>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數位僑教體系之策略評估與成效分析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7</w:t>
            </w:r>
          </w:p>
        </w:tc>
        <w:tc>
          <w:tcPr>
            <w:tcW w:w="4397" w:type="pct"/>
            <w:vAlign w:val="bottom"/>
          </w:tcPr>
          <w:p w:rsidR="00885A78" w:rsidRPr="00D3337E" w:rsidRDefault="00885A78" w:rsidP="00D3337E">
            <w:pPr>
              <w:spacing w:line="360" w:lineRule="exact"/>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跨部會合作模式之案例分析—以臺灣書院為例</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8</w:t>
            </w:r>
          </w:p>
        </w:tc>
        <w:tc>
          <w:tcPr>
            <w:tcW w:w="4397" w:type="pct"/>
            <w:vAlign w:val="center"/>
          </w:tcPr>
          <w:p w:rsidR="00885A78" w:rsidRPr="00D3337E" w:rsidRDefault="00885A78" w:rsidP="00D3337E">
            <w:pPr>
              <w:spacing w:line="360" w:lineRule="exact"/>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華文教育主流</w:t>
            </w:r>
            <w:r>
              <w:rPr>
                <w:rFonts w:ascii="標楷體" w:eastAsia="標楷體" w:hAnsi="標楷體" w:hint="eastAsia"/>
                <w:color w:val="000000"/>
                <w:sz w:val="28"/>
                <w:szCs w:val="28"/>
              </w:rPr>
              <w:t>化</w:t>
            </w:r>
            <w:r w:rsidRPr="00D3337E">
              <w:rPr>
                <w:rFonts w:ascii="標楷體" w:eastAsia="標楷體" w:hAnsi="標楷體" w:hint="eastAsia"/>
                <w:color w:val="000000"/>
                <w:sz w:val="28"/>
                <w:szCs w:val="28"/>
              </w:rPr>
              <w:t>趨勢下我國僑教政策之因應策略</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9</w:t>
            </w:r>
          </w:p>
        </w:tc>
        <w:tc>
          <w:tcPr>
            <w:tcW w:w="4397" w:type="pct"/>
            <w:vAlign w:val="center"/>
          </w:tcPr>
          <w:p w:rsidR="00885A78" w:rsidRPr="00D3337E" w:rsidRDefault="00885A78" w:rsidP="00D3337E">
            <w:pPr>
              <w:spacing w:line="360" w:lineRule="exact"/>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全球華語熱潮下我國僑教政策變異與資源分配之影響研析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10</w:t>
            </w:r>
          </w:p>
        </w:tc>
        <w:tc>
          <w:tcPr>
            <w:tcW w:w="4397" w:type="pct"/>
            <w:vAlign w:val="center"/>
          </w:tcPr>
          <w:p w:rsidR="00885A78" w:rsidRPr="00D3337E" w:rsidRDefault="00885A78" w:rsidP="00D3337E">
            <w:pPr>
              <w:spacing w:line="360" w:lineRule="exact"/>
              <w:jc w:val="both"/>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替代役役男政策評估研究—以海外僑校教育服務役為例</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11</w:t>
            </w:r>
          </w:p>
        </w:tc>
        <w:tc>
          <w:tcPr>
            <w:tcW w:w="4397" w:type="pct"/>
            <w:vAlign w:val="center"/>
          </w:tcPr>
          <w:p w:rsidR="00885A78" w:rsidRPr="00D3337E" w:rsidRDefault="00885A78" w:rsidP="00D3337E">
            <w:pPr>
              <w:spacing w:line="360" w:lineRule="exact"/>
              <w:jc w:val="both"/>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國內儲備教師輸出海外僑校之可行性分析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12</w:t>
            </w:r>
          </w:p>
        </w:tc>
        <w:tc>
          <w:tcPr>
            <w:tcW w:w="4397" w:type="pct"/>
            <w:vAlign w:val="center"/>
          </w:tcPr>
          <w:p w:rsidR="00885A78" w:rsidRPr="00D3337E" w:rsidRDefault="00885A78" w:rsidP="00D3337E">
            <w:pPr>
              <w:spacing w:line="360" w:lineRule="exact"/>
              <w:jc w:val="both"/>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華語文師資培訓策略與成效之研析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13</w:t>
            </w:r>
          </w:p>
        </w:tc>
        <w:tc>
          <w:tcPr>
            <w:tcW w:w="4397" w:type="pct"/>
            <w:vAlign w:val="center"/>
          </w:tcPr>
          <w:p w:rsidR="00885A78" w:rsidRPr="00D3337E" w:rsidRDefault="00885A78" w:rsidP="00D3337E">
            <w:pPr>
              <w:spacing w:line="360" w:lineRule="exact"/>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海外中文學校與主流教育體系接軌之實務策略蒐析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14</w:t>
            </w:r>
          </w:p>
        </w:tc>
        <w:tc>
          <w:tcPr>
            <w:tcW w:w="4397" w:type="pct"/>
            <w:vAlign w:val="center"/>
          </w:tcPr>
          <w:p w:rsidR="00885A78" w:rsidRPr="00D3337E" w:rsidRDefault="00885A78" w:rsidP="00D3337E">
            <w:pPr>
              <w:spacing w:line="360" w:lineRule="exact"/>
              <w:jc w:val="both"/>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文化融入語言之師資培訓策略與實務</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15</w:t>
            </w:r>
          </w:p>
        </w:tc>
        <w:tc>
          <w:tcPr>
            <w:tcW w:w="4397" w:type="pct"/>
            <w:vAlign w:val="center"/>
          </w:tcPr>
          <w:p w:rsidR="00885A78" w:rsidRPr="00D3337E" w:rsidRDefault="00885A78" w:rsidP="00D3337E">
            <w:pPr>
              <w:spacing w:line="360" w:lineRule="exact"/>
              <w:jc w:val="both"/>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華語文教育組織對美國華文教育推展之角色及影響</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16</w:t>
            </w:r>
          </w:p>
        </w:tc>
        <w:tc>
          <w:tcPr>
            <w:tcW w:w="4397" w:type="pct"/>
            <w:vAlign w:val="center"/>
          </w:tcPr>
          <w:p w:rsidR="00885A78" w:rsidRPr="00D3337E" w:rsidRDefault="00885A78" w:rsidP="00D3337E">
            <w:pPr>
              <w:spacing w:line="360" w:lineRule="exact"/>
              <w:jc w:val="both"/>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僑教推展於我國國家發展之重要性研析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17</w:t>
            </w:r>
          </w:p>
        </w:tc>
        <w:tc>
          <w:tcPr>
            <w:tcW w:w="4397" w:type="pct"/>
            <w:vAlign w:val="center"/>
          </w:tcPr>
          <w:p w:rsidR="00885A78" w:rsidRPr="00D3337E" w:rsidRDefault="00885A78" w:rsidP="00D3337E">
            <w:pPr>
              <w:spacing w:line="360" w:lineRule="exact"/>
              <w:rPr>
                <w:rFonts w:ascii="標楷體" w:eastAsia="標楷體" w:hAnsi="標楷體" w:cs="新細明體"/>
                <w:color w:val="000000"/>
                <w:sz w:val="28"/>
                <w:szCs w:val="28"/>
              </w:rPr>
            </w:pPr>
            <w:r w:rsidRPr="00D3337E">
              <w:rPr>
                <w:rFonts w:ascii="標楷體" w:eastAsia="標楷體" w:hAnsi="標楷體" w:hint="eastAsia"/>
                <w:color w:val="000000"/>
                <w:sz w:val="28"/>
                <w:szCs w:val="28"/>
              </w:rPr>
              <w:t>兩岸海外華語文教學推動策略之比較</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18</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海外僑營事業與國內連鎖加盟產業商務合作現況概蒐及個案研析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19</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如何協輔及鼓勵海外僑臺商協助政府行銷MIT臺灣精品具體作為研究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20</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海外僑營事業融資管道與融資操作模式之探討</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21</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海外僑商團體與主流商會共存共榮之研究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22</w:t>
            </w:r>
          </w:p>
        </w:tc>
        <w:tc>
          <w:tcPr>
            <w:tcW w:w="4397" w:type="pct"/>
          </w:tcPr>
          <w:p w:rsidR="00885A78" w:rsidRPr="00225677"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海外僑商青年融入主流社會對海外僑社影響之研究</w:t>
            </w:r>
          </w:p>
        </w:tc>
      </w:tr>
      <w:tr w:rsidR="00885A78" w:rsidRPr="00D3337E" w:rsidTr="00885A78">
        <w:tc>
          <w:tcPr>
            <w:tcW w:w="603" w:type="pct"/>
          </w:tcPr>
          <w:p w:rsidR="00885A78"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23</w:t>
            </w:r>
          </w:p>
        </w:tc>
        <w:tc>
          <w:tcPr>
            <w:tcW w:w="4397" w:type="pct"/>
          </w:tcPr>
          <w:p w:rsidR="00885A78"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運用海外僑商組織結合政府經貿政策發揮國際影響力之研究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24</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如何強化華裔二代青年加入海外僑臺商組織之策略分析研究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25</w:t>
            </w:r>
          </w:p>
        </w:tc>
        <w:tc>
          <w:tcPr>
            <w:tcW w:w="4397" w:type="pct"/>
          </w:tcPr>
          <w:p w:rsidR="00885A78" w:rsidRPr="00D3337E" w:rsidRDefault="00885A78" w:rsidP="00D3337E">
            <w:pPr>
              <w:spacing w:line="360" w:lineRule="exact"/>
              <w:rPr>
                <w:rFonts w:ascii="標楷體" w:eastAsia="標楷體" w:hAnsi="標楷體"/>
                <w:sz w:val="28"/>
                <w:szCs w:val="28"/>
              </w:rPr>
            </w:pPr>
            <w:r>
              <w:rPr>
                <w:rFonts w:ascii="標楷體" w:eastAsia="標楷體" w:hAnsi="標楷體" w:hint="eastAsia"/>
                <w:sz w:val="28"/>
                <w:szCs w:val="28"/>
              </w:rPr>
              <w:t>臺商在東南亞地區投資現況分析研究</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26</w:t>
            </w:r>
          </w:p>
        </w:tc>
        <w:tc>
          <w:tcPr>
            <w:tcW w:w="4397" w:type="pct"/>
          </w:tcPr>
          <w:p w:rsidR="00885A78" w:rsidRPr="00225677" w:rsidRDefault="00885A78" w:rsidP="00304881">
            <w:pPr>
              <w:spacing w:line="360" w:lineRule="exact"/>
              <w:rPr>
                <w:rFonts w:ascii="標楷體" w:eastAsia="標楷體" w:hAnsi="標楷體"/>
                <w:sz w:val="28"/>
                <w:szCs w:val="28"/>
              </w:rPr>
            </w:pPr>
            <w:r>
              <w:rPr>
                <w:rFonts w:ascii="標楷體" w:eastAsia="標楷體" w:hAnsi="標楷體" w:hint="eastAsia"/>
                <w:sz w:val="28"/>
                <w:szCs w:val="28"/>
              </w:rPr>
              <w:t>東南亞臺商在僑居地產業分布之研究－以○○（單一東南亞國家，例：泰國）為例</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27</w:t>
            </w:r>
          </w:p>
        </w:tc>
        <w:tc>
          <w:tcPr>
            <w:tcW w:w="4397" w:type="pct"/>
          </w:tcPr>
          <w:p w:rsidR="00885A78" w:rsidRPr="00E50683" w:rsidRDefault="00885A78" w:rsidP="00E50683">
            <w:pPr>
              <w:spacing w:line="360" w:lineRule="exact"/>
              <w:rPr>
                <w:rFonts w:ascii="標楷體" w:eastAsia="標楷體" w:hAnsi="標楷體"/>
                <w:sz w:val="28"/>
                <w:szCs w:val="28"/>
              </w:rPr>
            </w:pPr>
            <w:r w:rsidRPr="00E50683">
              <w:rPr>
                <w:rFonts w:ascii="標楷體" w:eastAsia="標楷體" w:hAnsi="標楷體"/>
                <w:sz w:val="28"/>
                <w:szCs w:val="28"/>
              </w:rPr>
              <w:t>因應菲律賓地區學制變革契機擴大吸引當地華裔子弟來臺升學之研析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28</w:t>
            </w:r>
          </w:p>
        </w:tc>
        <w:tc>
          <w:tcPr>
            <w:tcW w:w="4397" w:type="pct"/>
          </w:tcPr>
          <w:p w:rsidR="00885A78" w:rsidRPr="002E5C02" w:rsidRDefault="00885A78" w:rsidP="00E50683">
            <w:pPr>
              <w:spacing w:line="360" w:lineRule="exact"/>
              <w:rPr>
                <w:rFonts w:ascii="標楷體" w:eastAsia="標楷體" w:hAnsi="標楷體"/>
                <w:sz w:val="28"/>
                <w:szCs w:val="28"/>
              </w:rPr>
            </w:pPr>
            <w:r w:rsidRPr="00E50683">
              <w:rPr>
                <w:rFonts w:ascii="標楷體" w:eastAsia="標楷體" w:hAnsi="標楷體"/>
                <w:sz w:val="28"/>
                <w:szCs w:val="28"/>
              </w:rPr>
              <w:t>我國與中國大陸招收僑生政策之比較與分析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lastRenderedPageBreak/>
              <w:t>29</w:t>
            </w:r>
          </w:p>
        </w:tc>
        <w:tc>
          <w:tcPr>
            <w:tcW w:w="4397" w:type="pct"/>
          </w:tcPr>
          <w:p w:rsidR="00885A78" w:rsidRPr="00E50683" w:rsidRDefault="00885A78" w:rsidP="00E50683">
            <w:pPr>
              <w:spacing w:line="360" w:lineRule="exact"/>
              <w:rPr>
                <w:rFonts w:ascii="標楷體" w:eastAsia="標楷體" w:hAnsi="標楷體"/>
                <w:sz w:val="28"/>
                <w:szCs w:val="28"/>
              </w:rPr>
            </w:pPr>
            <w:r w:rsidRPr="00E50683">
              <w:rPr>
                <w:rFonts w:ascii="標楷體" w:eastAsia="標楷體" w:hAnsi="標楷體" w:hint="eastAsia"/>
                <w:sz w:val="28"/>
                <w:szCs w:val="28"/>
              </w:rPr>
              <w:t>海外青年技術訓練班辦理方式轉型可行性評估</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30</w:t>
            </w:r>
          </w:p>
        </w:tc>
        <w:tc>
          <w:tcPr>
            <w:tcW w:w="4397" w:type="pct"/>
          </w:tcPr>
          <w:p w:rsidR="00885A78" w:rsidRPr="00E50683" w:rsidRDefault="00885A78" w:rsidP="00E50683">
            <w:pPr>
              <w:spacing w:line="360" w:lineRule="exact"/>
              <w:rPr>
                <w:rFonts w:ascii="標楷體" w:eastAsia="標楷體" w:hAnsi="標楷體"/>
                <w:sz w:val="28"/>
                <w:szCs w:val="28"/>
              </w:rPr>
            </w:pPr>
            <w:r w:rsidRPr="00E50683">
              <w:rPr>
                <w:rFonts w:ascii="標楷體" w:eastAsia="標楷體" w:hAnsi="標楷體" w:hint="eastAsia"/>
                <w:sz w:val="28"/>
                <w:szCs w:val="28"/>
              </w:rPr>
              <w:t>海外華裔青年選擇課餘活動或海外旅行之動機研析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31</w:t>
            </w:r>
          </w:p>
        </w:tc>
        <w:tc>
          <w:tcPr>
            <w:tcW w:w="4397" w:type="pct"/>
          </w:tcPr>
          <w:p w:rsidR="00885A78" w:rsidRPr="00E50683" w:rsidRDefault="00885A78" w:rsidP="00E50683">
            <w:pPr>
              <w:spacing w:line="360" w:lineRule="exact"/>
              <w:rPr>
                <w:rFonts w:ascii="標楷體" w:eastAsia="標楷體" w:hAnsi="標楷體"/>
                <w:sz w:val="28"/>
                <w:szCs w:val="28"/>
              </w:rPr>
            </w:pPr>
            <w:r w:rsidRPr="00E50683">
              <w:rPr>
                <w:rFonts w:ascii="標楷體" w:eastAsia="標楷體" w:hAnsi="標楷體" w:hint="eastAsia"/>
                <w:sz w:val="28"/>
                <w:szCs w:val="28"/>
              </w:rPr>
              <w:t>海外華裔青年對臺灣文化之印象及認知分析</w:t>
            </w:r>
          </w:p>
        </w:tc>
      </w:tr>
      <w:tr w:rsidR="00885A78" w:rsidRPr="00D3337E" w:rsidTr="00885A78">
        <w:tc>
          <w:tcPr>
            <w:tcW w:w="603" w:type="pct"/>
          </w:tcPr>
          <w:p w:rsidR="00885A78"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32</w:t>
            </w:r>
          </w:p>
        </w:tc>
        <w:tc>
          <w:tcPr>
            <w:tcW w:w="4397" w:type="pct"/>
          </w:tcPr>
          <w:p w:rsidR="00885A78" w:rsidRDefault="00885A78" w:rsidP="00E50683">
            <w:pPr>
              <w:spacing w:line="360" w:lineRule="exact"/>
              <w:rPr>
                <w:rFonts w:ascii="標楷體" w:eastAsia="標楷體" w:hAnsi="標楷體"/>
                <w:sz w:val="28"/>
                <w:szCs w:val="28"/>
              </w:rPr>
            </w:pPr>
            <w:r>
              <w:rPr>
                <w:rFonts w:ascii="標楷體" w:eastAsia="標楷體" w:hAnsi="標楷體" w:hint="eastAsia"/>
                <w:sz w:val="28"/>
                <w:szCs w:val="28"/>
              </w:rPr>
              <w:t>僑生教育對當前人口政策影響之研析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33</w:t>
            </w:r>
          </w:p>
        </w:tc>
        <w:tc>
          <w:tcPr>
            <w:tcW w:w="4397" w:type="pct"/>
          </w:tcPr>
          <w:p w:rsidR="00885A78" w:rsidRPr="00E50683" w:rsidRDefault="00885A78" w:rsidP="00E50683">
            <w:pPr>
              <w:spacing w:line="360" w:lineRule="exact"/>
              <w:rPr>
                <w:rFonts w:ascii="標楷體" w:eastAsia="標楷體" w:hAnsi="標楷體"/>
                <w:sz w:val="28"/>
                <w:szCs w:val="28"/>
              </w:rPr>
            </w:pPr>
            <w:r>
              <w:rPr>
                <w:rFonts w:ascii="標楷體" w:eastAsia="標楷體" w:hAnsi="標楷體" w:hint="eastAsia"/>
                <w:sz w:val="28"/>
                <w:szCs w:val="28"/>
              </w:rPr>
              <w:t>我國的國際文宣策略分析</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34</w:t>
            </w:r>
          </w:p>
        </w:tc>
        <w:tc>
          <w:tcPr>
            <w:tcW w:w="4397" w:type="pct"/>
          </w:tcPr>
          <w:p w:rsidR="00885A78" w:rsidRPr="00E50683" w:rsidRDefault="00885A78" w:rsidP="00E50683">
            <w:pPr>
              <w:spacing w:line="360" w:lineRule="exact"/>
              <w:rPr>
                <w:rFonts w:ascii="標楷體" w:eastAsia="標楷體" w:hAnsi="標楷體"/>
                <w:sz w:val="28"/>
                <w:szCs w:val="28"/>
              </w:rPr>
            </w:pPr>
            <w:r>
              <w:rPr>
                <w:rFonts w:ascii="標楷體" w:eastAsia="標楷體" w:hAnsi="標楷體" w:hint="eastAsia"/>
                <w:sz w:val="28"/>
                <w:szCs w:val="28"/>
              </w:rPr>
              <w:t>華文網路媒體的前景及挑戰</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35</w:t>
            </w:r>
          </w:p>
        </w:tc>
        <w:tc>
          <w:tcPr>
            <w:tcW w:w="4397" w:type="pct"/>
          </w:tcPr>
          <w:p w:rsidR="00885A78" w:rsidRPr="00E50683" w:rsidRDefault="00885A78" w:rsidP="00E50683">
            <w:pPr>
              <w:spacing w:line="360" w:lineRule="exact"/>
              <w:rPr>
                <w:rFonts w:ascii="標楷體" w:eastAsia="標楷體" w:hAnsi="標楷體"/>
                <w:sz w:val="28"/>
                <w:szCs w:val="28"/>
              </w:rPr>
            </w:pPr>
            <w:r>
              <w:rPr>
                <w:rFonts w:ascii="標楷體" w:eastAsia="標楷體" w:hAnsi="標楷體" w:hint="eastAsia"/>
                <w:sz w:val="28"/>
                <w:szCs w:val="28"/>
              </w:rPr>
              <w:t>政府文宣運用社群媒體的策略</w:t>
            </w:r>
          </w:p>
        </w:tc>
      </w:tr>
      <w:tr w:rsidR="00885A78" w:rsidRPr="00D3337E" w:rsidTr="00885A78">
        <w:tc>
          <w:tcPr>
            <w:tcW w:w="603" w:type="pct"/>
          </w:tcPr>
          <w:p w:rsidR="00885A78" w:rsidRPr="00D3337E" w:rsidRDefault="00885A78" w:rsidP="00D3337E">
            <w:pPr>
              <w:spacing w:line="360" w:lineRule="exact"/>
              <w:jc w:val="center"/>
              <w:rPr>
                <w:rFonts w:ascii="標楷體" w:eastAsia="標楷體" w:hAnsi="標楷體"/>
                <w:sz w:val="28"/>
                <w:szCs w:val="28"/>
              </w:rPr>
            </w:pPr>
            <w:r>
              <w:rPr>
                <w:rFonts w:ascii="標楷體" w:eastAsia="標楷體" w:hAnsi="標楷體" w:hint="eastAsia"/>
                <w:sz w:val="28"/>
                <w:szCs w:val="28"/>
              </w:rPr>
              <w:t>36</w:t>
            </w:r>
          </w:p>
        </w:tc>
        <w:tc>
          <w:tcPr>
            <w:tcW w:w="4397" w:type="pct"/>
          </w:tcPr>
          <w:p w:rsidR="00885A78" w:rsidRDefault="00885A78" w:rsidP="00E50683">
            <w:pPr>
              <w:spacing w:line="360" w:lineRule="exact"/>
              <w:rPr>
                <w:rFonts w:ascii="標楷體" w:eastAsia="標楷體" w:hAnsi="標楷體"/>
                <w:sz w:val="28"/>
                <w:szCs w:val="28"/>
              </w:rPr>
            </w:pPr>
            <w:r>
              <w:rPr>
                <w:rFonts w:ascii="標楷體" w:eastAsia="標楷體" w:hAnsi="標楷體" w:hint="eastAsia"/>
                <w:sz w:val="28"/>
                <w:szCs w:val="28"/>
              </w:rPr>
              <w:t>跨世代移民者之失業及就業情形比較</w:t>
            </w:r>
          </w:p>
        </w:tc>
      </w:tr>
    </w:tbl>
    <w:p w:rsidR="0048171A" w:rsidRPr="00B2789A" w:rsidRDefault="0048171A" w:rsidP="0048171A">
      <w:pPr>
        <w:jc w:val="center"/>
        <w:rPr>
          <w:rFonts w:ascii="標楷體" w:eastAsia="標楷體" w:hAnsi="標楷體"/>
          <w:b/>
          <w:szCs w:val="24"/>
        </w:rPr>
      </w:pPr>
    </w:p>
    <w:sectPr w:rsidR="0048171A" w:rsidRPr="00B2789A" w:rsidSect="00B1419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436" w:rsidRDefault="00BF7436" w:rsidP="002B70BD">
      <w:r>
        <w:separator/>
      </w:r>
    </w:p>
  </w:endnote>
  <w:endnote w:type="continuationSeparator" w:id="1">
    <w:p w:rsidR="00BF7436" w:rsidRDefault="00BF7436" w:rsidP="002B70B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436" w:rsidRDefault="00BF7436" w:rsidP="002B70BD">
      <w:r>
        <w:separator/>
      </w:r>
    </w:p>
  </w:footnote>
  <w:footnote w:type="continuationSeparator" w:id="1">
    <w:p w:rsidR="00BF7436" w:rsidRDefault="00BF7436" w:rsidP="002B70B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bordersDoNotSurroundHeader/>
  <w:bordersDoNotSurroundFooter/>
  <w:defaultTabStop w:val="480"/>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171A"/>
    <w:rsid w:val="00076037"/>
    <w:rsid w:val="000D2B89"/>
    <w:rsid w:val="00140157"/>
    <w:rsid w:val="00172654"/>
    <w:rsid w:val="001942CA"/>
    <w:rsid w:val="00215C05"/>
    <w:rsid w:val="00225677"/>
    <w:rsid w:val="00273002"/>
    <w:rsid w:val="002B70BD"/>
    <w:rsid w:val="00304881"/>
    <w:rsid w:val="003F35FD"/>
    <w:rsid w:val="00412A13"/>
    <w:rsid w:val="0048171A"/>
    <w:rsid w:val="0056464C"/>
    <w:rsid w:val="005F7042"/>
    <w:rsid w:val="006634CE"/>
    <w:rsid w:val="006645EC"/>
    <w:rsid w:val="006E45AC"/>
    <w:rsid w:val="007069A3"/>
    <w:rsid w:val="008151EB"/>
    <w:rsid w:val="00885A78"/>
    <w:rsid w:val="00970F10"/>
    <w:rsid w:val="009D4DCB"/>
    <w:rsid w:val="00B14192"/>
    <w:rsid w:val="00B2789A"/>
    <w:rsid w:val="00B60329"/>
    <w:rsid w:val="00BF7436"/>
    <w:rsid w:val="00D3337E"/>
    <w:rsid w:val="00E50683"/>
    <w:rsid w:val="00EB2438"/>
    <w:rsid w:val="00F0636E"/>
    <w:rsid w:val="00F2601A"/>
    <w:rsid w:val="00F46DBA"/>
    <w:rsid w:val="00F56FEF"/>
    <w:rsid w:val="00FF241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19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8171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semiHidden/>
    <w:unhideWhenUsed/>
    <w:rsid w:val="00225677"/>
    <w:pPr>
      <w:widowControl/>
      <w:tabs>
        <w:tab w:val="center" w:pos="4153"/>
        <w:tab w:val="right" w:pos="8306"/>
      </w:tabs>
      <w:snapToGrid w:val="0"/>
    </w:pPr>
    <w:rPr>
      <w:rFonts w:ascii="Times New Roman" w:eastAsia="新細明體" w:hAnsi="Times New Roman" w:cs="Times New Roman"/>
      <w:kern w:val="0"/>
      <w:sz w:val="20"/>
      <w:szCs w:val="20"/>
    </w:rPr>
  </w:style>
  <w:style w:type="character" w:customStyle="1" w:styleId="a5">
    <w:name w:val="頁首 字元"/>
    <w:basedOn w:val="a0"/>
    <w:link w:val="a4"/>
    <w:semiHidden/>
    <w:rsid w:val="00225677"/>
    <w:rPr>
      <w:rFonts w:ascii="Times New Roman" w:eastAsia="新細明體" w:hAnsi="Times New Roman" w:cs="Times New Roman"/>
      <w:kern w:val="0"/>
      <w:sz w:val="20"/>
      <w:szCs w:val="20"/>
    </w:rPr>
  </w:style>
  <w:style w:type="paragraph" w:styleId="a6">
    <w:name w:val="footer"/>
    <w:basedOn w:val="a"/>
    <w:link w:val="a7"/>
    <w:uiPriority w:val="99"/>
    <w:semiHidden/>
    <w:unhideWhenUsed/>
    <w:rsid w:val="002B70BD"/>
    <w:pPr>
      <w:tabs>
        <w:tab w:val="center" w:pos="4153"/>
        <w:tab w:val="right" w:pos="8306"/>
      </w:tabs>
      <w:snapToGrid w:val="0"/>
    </w:pPr>
    <w:rPr>
      <w:sz w:val="20"/>
      <w:szCs w:val="20"/>
    </w:rPr>
  </w:style>
  <w:style w:type="character" w:customStyle="1" w:styleId="a7">
    <w:name w:val="頁尾 字元"/>
    <w:basedOn w:val="a0"/>
    <w:link w:val="a6"/>
    <w:uiPriority w:val="99"/>
    <w:semiHidden/>
    <w:rsid w:val="002B70BD"/>
    <w:rPr>
      <w:sz w:val="20"/>
      <w:szCs w:val="20"/>
    </w:rPr>
  </w:style>
</w:styles>
</file>

<file path=word/webSettings.xml><?xml version="1.0" encoding="utf-8"?>
<w:webSettings xmlns:r="http://schemas.openxmlformats.org/officeDocument/2006/relationships" xmlns:w="http://schemas.openxmlformats.org/wordprocessingml/2006/main">
  <w:divs>
    <w:div w:id="13626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baoalb</dc:creator>
  <cp:lastModifiedBy>CURT</cp:lastModifiedBy>
  <cp:revision>2</cp:revision>
  <cp:lastPrinted>2014-05-08T07:14:00Z</cp:lastPrinted>
  <dcterms:created xsi:type="dcterms:W3CDTF">2014-08-12T05:48:00Z</dcterms:created>
  <dcterms:modified xsi:type="dcterms:W3CDTF">2014-08-12T05:48:00Z</dcterms:modified>
</cp:coreProperties>
</file>